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北京体育大学管理学院202</w:t>
      </w:r>
      <w:r>
        <w:rPr>
          <w:rFonts w:ascii="方正小标宋简体" w:hAnsi="方正小标宋简体" w:eastAsia="方正小标宋简体" w:cs="方正小标宋简体"/>
          <w:sz w:val="44"/>
          <w:szCs w:val="44"/>
        </w:rPr>
        <w:t>4</w:t>
      </w:r>
      <w:r>
        <w:rPr>
          <w:rFonts w:hint="eastAsia" w:ascii="方正小标宋简体" w:hAnsi="方正小标宋简体" w:eastAsia="方正小标宋简体" w:cs="方正小标宋简体"/>
          <w:sz w:val="44"/>
          <w:szCs w:val="44"/>
        </w:rPr>
        <w:t>年硕士研究生</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招生复试实施细则</w:t>
      </w:r>
    </w:p>
    <w:p>
      <w:pPr>
        <w:spacing w:line="360" w:lineRule="auto"/>
      </w:pPr>
    </w:p>
    <w:tbl>
      <w:tblPr>
        <w:tblStyle w:val="10"/>
        <w:tblW w:w="7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0"/>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440"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复试专业</w:t>
            </w:r>
          </w:p>
        </w:tc>
        <w:tc>
          <w:tcPr>
            <w:tcW w:w="4439"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研究方向（或专项）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3440" w:type="dxa"/>
            <w:vAlign w:val="center"/>
          </w:tcPr>
          <w:p>
            <w:pPr>
              <w:adjustRightInd w:val="0"/>
              <w:snapToGrid w:val="0"/>
              <w:spacing w:line="480" w:lineRule="exact"/>
              <w:jc w:val="center"/>
              <w:rPr>
                <w:rFonts w:ascii="仿宋" w:hAnsi="仿宋" w:eastAsia="仿宋" w:cs="仿宋"/>
                <w:sz w:val="28"/>
                <w:szCs w:val="28"/>
              </w:rPr>
            </w:pPr>
            <w:r>
              <w:rPr>
                <w:rFonts w:hint="eastAsia" w:ascii="仿宋" w:hAnsi="仿宋" w:eastAsia="仿宋" w:cs="仿宋"/>
                <w:sz w:val="28"/>
                <w:szCs w:val="28"/>
              </w:rPr>
              <w:t>公共管理学（</w:t>
            </w:r>
            <w:r>
              <w:rPr>
                <w:rFonts w:ascii="仿宋" w:hAnsi="仿宋" w:eastAsia="仿宋" w:cs="仿宋"/>
                <w:sz w:val="28"/>
                <w:szCs w:val="28"/>
              </w:rPr>
              <w:t>120400）</w:t>
            </w:r>
          </w:p>
        </w:tc>
        <w:tc>
          <w:tcPr>
            <w:tcW w:w="4439" w:type="dxa"/>
            <w:vAlign w:val="center"/>
          </w:tcPr>
          <w:p>
            <w:pPr>
              <w:adjustRightInd w:val="0"/>
              <w:snapToGrid w:val="0"/>
              <w:spacing w:line="480" w:lineRule="exact"/>
              <w:ind w:firstLine="560" w:firstLineChars="200"/>
              <w:jc w:val="left"/>
              <w:rPr>
                <w:rFonts w:ascii="仿宋" w:hAnsi="仿宋" w:eastAsia="仿宋" w:cs="仿宋"/>
                <w:sz w:val="28"/>
                <w:szCs w:val="28"/>
              </w:rPr>
            </w:pPr>
            <w:r>
              <w:rPr>
                <w:rFonts w:ascii="仿宋" w:hAnsi="仿宋" w:eastAsia="仿宋" w:cs="仿宋"/>
                <w:sz w:val="28"/>
                <w:szCs w:val="28"/>
              </w:rPr>
              <w:t>1.体育政策</w:t>
            </w:r>
          </w:p>
          <w:p>
            <w:pPr>
              <w:adjustRightInd w:val="0"/>
              <w:snapToGrid w:val="0"/>
              <w:spacing w:line="480" w:lineRule="exact"/>
              <w:ind w:firstLine="560" w:firstLineChars="200"/>
              <w:jc w:val="left"/>
              <w:rPr>
                <w:rFonts w:ascii="仿宋" w:hAnsi="仿宋" w:eastAsia="仿宋" w:cs="仿宋"/>
                <w:sz w:val="28"/>
                <w:szCs w:val="28"/>
              </w:rPr>
            </w:pPr>
            <w:r>
              <w:rPr>
                <w:rFonts w:ascii="仿宋" w:hAnsi="仿宋" w:eastAsia="仿宋" w:cs="仿宋"/>
                <w:sz w:val="28"/>
                <w:szCs w:val="28"/>
              </w:rPr>
              <w:t>2.社会组织管理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3440" w:type="dxa"/>
            <w:vAlign w:val="center"/>
          </w:tcPr>
          <w:p>
            <w:pPr>
              <w:adjustRightInd w:val="0"/>
              <w:snapToGrid w:val="0"/>
              <w:spacing w:line="480" w:lineRule="exact"/>
              <w:jc w:val="center"/>
              <w:rPr>
                <w:rFonts w:ascii="仿宋" w:hAnsi="仿宋" w:eastAsia="仿宋" w:cs="仿宋"/>
                <w:sz w:val="28"/>
                <w:szCs w:val="28"/>
              </w:rPr>
            </w:pPr>
            <w:r>
              <w:rPr>
                <w:rFonts w:hint="eastAsia" w:ascii="仿宋" w:hAnsi="仿宋" w:eastAsia="仿宋" w:cs="仿宋"/>
                <w:sz w:val="28"/>
                <w:szCs w:val="28"/>
              </w:rPr>
              <w:t>行政管理（120401）</w:t>
            </w:r>
          </w:p>
        </w:tc>
        <w:tc>
          <w:tcPr>
            <w:tcW w:w="4439" w:type="dxa"/>
            <w:vAlign w:val="center"/>
          </w:tcPr>
          <w:p>
            <w:pPr>
              <w:adjustRightInd w:val="0"/>
              <w:snapToGrid w:val="0"/>
              <w:spacing w:line="480" w:lineRule="exact"/>
              <w:ind w:firstLine="560" w:firstLineChars="200"/>
              <w:jc w:val="left"/>
              <w:rPr>
                <w:rFonts w:ascii="仿宋" w:hAnsi="仿宋" w:eastAsia="仿宋" w:cs="仿宋"/>
                <w:sz w:val="28"/>
                <w:szCs w:val="28"/>
              </w:rPr>
            </w:pPr>
            <w:r>
              <w:rPr>
                <w:rFonts w:ascii="仿宋" w:hAnsi="仿宋" w:eastAsia="仿宋" w:cs="仿宋"/>
                <w:sz w:val="28"/>
                <w:szCs w:val="28"/>
              </w:rPr>
              <w:t>1.体育行政管理</w:t>
            </w:r>
          </w:p>
          <w:p>
            <w:pPr>
              <w:adjustRightInd w:val="0"/>
              <w:snapToGrid w:val="0"/>
              <w:spacing w:line="480" w:lineRule="exact"/>
              <w:ind w:firstLine="560" w:firstLineChars="200"/>
              <w:jc w:val="left"/>
              <w:rPr>
                <w:rFonts w:ascii="仿宋" w:hAnsi="仿宋" w:eastAsia="仿宋" w:cs="仿宋"/>
                <w:sz w:val="28"/>
                <w:szCs w:val="28"/>
              </w:rPr>
            </w:pPr>
            <w:r>
              <w:rPr>
                <w:rFonts w:ascii="仿宋" w:hAnsi="仿宋" w:eastAsia="仿宋" w:cs="仿宋"/>
                <w:sz w:val="28"/>
                <w:szCs w:val="28"/>
              </w:rPr>
              <w:t>2.运动队管理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440" w:type="dxa"/>
            <w:vAlign w:val="center"/>
          </w:tcPr>
          <w:p>
            <w:pPr>
              <w:adjustRightInd w:val="0"/>
              <w:snapToGrid w:val="0"/>
              <w:spacing w:line="480" w:lineRule="exact"/>
              <w:jc w:val="center"/>
              <w:rPr>
                <w:rFonts w:ascii="仿宋" w:hAnsi="仿宋" w:eastAsia="仿宋" w:cs="仿宋"/>
                <w:sz w:val="28"/>
                <w:szCs w:val="28"/>
              </w:rPr>
            </w:pPr>
            <w:r>
              <w:rPr>
                <w:rFonts w:hint="eastAsia" w:ascii="仿宋" w:hAnsi="仿宋" w:eastAsia="仿宋" w:cs="仿宋"/>
                <w:sz w:val="28"/>
                <w:szCs w:val="28"/>
              </w:rPr>
              <w:t>竞赛组织（045203）</w:t>
            </w:r>
          </w:p>
        </w:tc>
        <w:tc>
          <w:tcPr>
            <w:tcW w:w="4439" w:type="dxa"/>
            <w:vAlign w:val="center"/>
          </w:tcPr>
          <w:p>
            <w:pPr>
              <w:adjustRightInd w:val="0"/>
              <w:snapToGrid w:val="0"/>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体育竞赛组织与管理研究</w:t>
            </w:r>
          </w:p>
        </w:tc>
      </w:tr>
    </w:tbl>
    <w:p>
      <w:pPr>
        <w:adjustRightInd w:val="0"/>
        <w:snapToGrid w:val="0"/>
        <w:spacing w:line="6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一、复试方式</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考核方式：网络远程面试（腾讯会议），考生须全程打开摄像头，中途不得出镜。</w:t>
      </w:r>
    </w:p>
    <w:p>
      <w:pPr>
        <w:adjustRightInd w:val="0"/>
        <w:snapToGrid w:val="0"/>
        <w:spacing w:line="6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二、复试内容</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复试内容包括专业理论考核、专业技能考核、外语水平考核、思想政治素质和品德考核等4个部分。</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1、专业理论考核</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专业理论考核是由专家提出相关的学术问题和综合素养问题，请考生根据问题作答。目的在于考核考生是否具有扎实的专业理论知识和对问题的全方位分析能力以及较好的语言表达能力，要求回答内容能体现出考生具有一定的专业素养和一定的科研思维能力，思路清晰，逻辑严密，言之有据且语言表达顺畅。</w:t>
      </w:r>
      <w:r>
        <w:rPr>
          <w:rFonts w:hint="eastAsia" w:ascii="仿宋" w:hAnsi="仿宋" w:eastAsia="仿宋" w:cs="仿宋"/>
          <w:color w:val="7030A0"/>
          <w:sz w:val="28"/>
          <w:szCs w:val="28"/>
        </w:rPr>
        <w:t>根据考生答题情况将其成绩分为优、良、中、差四个等级。</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2、专业技能考核</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以论述或案例分析的方式进行。</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论述或案例分析主要考察考生在答题过程中对基本理论的把握程度和条理性，以及对相关专业知识的熟练程度，根据考生答题情况将其成绩分为优、良、中、差四个等级。</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3、外语水平测试</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外语水平的测试包含听力和口语。根据考官的外语提问，用相同语种的外语作答。主要考察考生对本专业外语知识水准的把握程度，根据考生答题情况将其成绩分为优、良、中、差四个等级。</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4、思想政治素质和品德考核</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思政考核由马克思主义学院统一命题，复试时根据考生随机抽取的思政考核试题作答，考核人员根据考生回答情况选择合格/不合格。思政考核不占分值，如评为不合格，则一票否决，考生面试成绩为零。</w:t>
      </w:r>
    </w:p>
    <w:p>
      <w:pPr>
        <w:adjustRightInd w:val="0"/>
        <w:snapToGrid w:val="0"/>
        <w:spacing w:line="6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三、复试流程</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1.考生必须在复试正式开始前做好软硬件的准备，登陆指定的腾讯视频候场会议室，并调试好备用软件。如因考生个人原因未在规定时间内参加考试，则视为放弃考试，不予录取。</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考生在规定考试时间内，进入候考视频会议室（简称“候考室”），进行集中点名，确认考试环境，由复试小组组长提出工作要求，然后视频会议室可以关闭。候考室秘书通过随机抽签系统确定考生随机上场顺序，通知相应考生进入考试视频会议室（简称“考试室”）。前一位考生进入考试室后开始抽选下一位考生，并告知考生待命。考生进入考试室后，由考试室秘书进行人脸识别和人证识别，资格审核通过后考试方可开始。</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3.考生复试时抽取试题作答，单人复试总时长不超过25分钟，前一考生复试完成退出会议室后，下一考生按照考场秘书的提示在进入复试会议室。复试时考生抽取试题1套，每套4道题，按照专业理论、专业技能、外语水平和思政考核的顺序，由考生作答。</w:t>
      </w:r>
      <w:bookmarkStart w:id="0" w:name="_GoBack"/>
      <w:bookmarkEnd w:id="0"/>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4.如因考生网络原因断开连接，则考生自动排到复试小组最后一位，且题目将进行重新随机抽选，待本小组复试结束后再次按照正常程序重新复试。如再次断开，则视为放弃考试，不予录取。</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5.专业复试成绩由复试小组全体成员共同评定。</w:t>
      </w:r>
    </w:p>
    <w:p>
      <w:p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四、考核标准</w:t>
      </w:r>
    </w:p>
    <w:tbl>
      <w:tblPr>
        <w:tblStyle w:val="1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复试内容</w:t>
            </w:r>
          </w:p>
        </w:tc>
        <w:tc>
          <w:tcPr>
            <w:tcW w:w="7436"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1738"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专业理论</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（200分）</w:t>
            </w:r>
          </w:p>
        </w:tc>
        <w:tc>
          <w:tcPr>
            <w:tcW w:w="7436"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1.优（180-200分）：专业知识扎实、分析能力和表达能力优秀。</w:t>
            </w:r>
          </w:p>
          <w:p>
            <w:pPr>
              <w:spacing w:line="360" w:lineRule="auto"/>
              <w:rPr>
                <w:rFonts w:ascii="仿宋" w:hAnsi="仿宋" w:eastAsia="仿宋" w:cs="仿宋"/>
                <w:sz w:val="24"/>
                <w:szCs w:val="24"/>
              </w:rPr>
            </w:pPr>
            <w:r>
              <w:rPr>
                <w:rFonts w:hint="eastAsia" w:ascii="仿宋" w:hAnsi="仿宋" w:eastAsia="仿宋" w:cs="仿宋"/>
                <w:sz w:val="24"/>
                <w:szCs w:val="24"/>
              </w:rPr>
              <w:t>2.良（150-179分）：专业知识、分析能力和表达能力良好。</w:t>
            </w:r>
          </w:p>
          <w:p>
            <w:pPr>
              <w:spacing w:line="360" w:lineRule="auto"/>
              <w:rPr>
                <w:rFonts w:ascii="仿宋" w:hAnsi="仿宋" w:eastAsia="仿宋" w:cs="仿宋"/>
                <w:sz w:val="24"/>
                <w:szCs w:val="24"/>
              </w:rPr>
            </w:pPr>
            <w:r>
              <w:rPr>
                <w:rFonts w:hint="eastAsia" w:ascii="仿宋" w:hAnsi="仿宋" w:eastAsia="仿宋" w:cs="仿宋"/>
                <w:sz w:val="24"/>
                <w:szCs w:val="24"/>
              </w:rPr>
              <w:t>3.中（120-149分）：专业知识、分析能力和表达能力一般。</w:t>
            </w:r>
          </w:p>
          <w:p>
            <w:pPr>
              <w:spacing w:line="360" w:lineRule="auto"/>
              <w:rPr>
                <w:rFonts w:ascii="仿宋" w:hAnsi="仿宋" w:eastAsia="仿宋" w:cs="仿宋"/>
                <w:sz w:val="28"/>
                <w:szCs w:val="28"/>
              </w:rPr>
            </w:pPr>
            <w:r>
              <w:rPr>
                <w:rFonts w:hint="eastAsia" w:ascii="仿宋" w:hAnsi="仿宋" w:eastAsia="仿宋" w:cs="仿宋"/>
                <w:sz w:val="24"/>
                <w:szCs w:val="24"/>
              </w:rPr>
              <w:t>4.差（120分以下）：专业知识、分析能力和表达能力较差。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738"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专业技能</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（200分）</w:t>
            </w:r>
          </w:p>
        </w:tc>
        <w:tc>
          <w:tcPr>
            <w:tcW w:w="7436"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1.优（180-200分）：论述或案例分析中专业知识把握度和条理性优秀。</w:t>
            </w:r>
          </w:p>
          <w:p>
            <w:pPr>
              <w:spacing w:line="360" w:lineRule="auto"/>
              <w:rPr>
                <w:rFonts w:ascii="仿宋" w:hAnsi="仿宋" w:eastAsia="仿宋" w:cs="仿宋"/>
                <w:sz w:val="24"/>
                <w:szCs w:val="24"/>
              </w:rPr>
            </w:pPr>
            <w:r>
              <w:rPr>
                <w:rFonts w:hint="eastAsia" w:ascii="仿宋" w:hAnsi="仿宋" w:eastAsia="仿宋" w:cs="仿宋"/>
                <w:sz w:val="24"/>
                <w:szCs w:val="24"/>
              </w:rPr>
              <w:t>2.良（150-179分）：论述或案例分析中专业知识把握度和条理性良好。</w:t>
            </w:r>
          </w:p>
          <w:p>
            <w:pPr>
              <w:spacing w:line="360" w:lineRule="auto"/>
              <w:rPr>
                <w:rFonts w:ascii="仿宋" w:hAnsi="仿宋" w:eastAsia="仿宋" w:cs="仿宋"/>
                <w:sz w:val="24"/>
                <w:szCs w:val="24"/>
              </w:rPr>
            </w:pPr>
            <w:r>
              <w:rPr>
                <w:rFonts w:hint="eastAsia" w:ascii="仿宋" w:hAnsi="仿宋" w:eastAsia="仿宋" w:cs="仿宋"/>
                <w:sz w:val="24"/>
                <w:szCs w:val="24"/>
              </w:rPr>
              <w:t>3.中（120-149分）：论述或案例分析中专业知识把握度和条理性一般。</w:t>
            </w:r>
          </w:p>
          <w:p>
            <w:pPr>
              <w:spacing w:line="360" w:lineRule="auto"/>
              <w:rPr>
                <w:rFonts w:ascii="仿宋" w:hAnsi="仿宋" w:eastAsia="仿宋" w:cs="仿宋"/>
                <w:sz w:val="24"/>
                <w:szCs w:val="24"/>
              </w:rPr>
            </w:pPr>
            <w:r>
              <w:rPr>
                <w:rFonts w:hint="eastAsia" w:ascii="仿宋" w:hAnsi="仿宋" w:eastAsia="仿宋" w:cs="仿宋"/>
                <w:sz w:val="24"/>
                <w:szCs w:val="24"/>
              </w:rPr>
              <w:t>4.差（120分以下）：论述或案例分析中专业知识把握度和条理性较差。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外语水平</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（100分）</w:t>
            </w:r>
          </w:p>
        </w:tc>
        <w:tc>
          <w:tcPr>
            <w:tcW w:w="7436" w:type="dxa"/>
          </w:tcPr>
          <w:p>
            <w:pPr>
              <w:spacing w:line="360" w:lineRule="auto"/>
              <w:rPr>
                <w:rFonts w:ascii="仿宋" w:hAnsi="仿宋" w:eastAsia="仿宋" w:cs="仿宋"/>
                <w:sz w:val="24"/>
                <w:szCs w:val="24"/>
              </w:rPr>
            </w:pPr>
            <w:r>
              <w:rPr>
                <w:rFonts w:hint="eastAsia" w:ascii="仿宋" w:hAnsi="仿宋" w:eastAsia="仿宋" w:cs="仿宋"/>
                <w:sz w:val="24"/>
                <w:szCs w:val="24"/>
              </w:rPr>
              <w:t>1.优（90-100分）：英语听力、发音、表达能力优秀。</w:t>
            </w:r>
          </w:p>
          <w:p>
            <w:pPr>
              <w:spacing w:line="360" w:lineRule="auto"/>
              <w:rPr>
                <w:rFonts w:ascii="仿宋" w:hAnsi="仿宋" w:eastAsia="仿宋" w:cs="仿宋"/>
                <w:sz w:val="24"/>
                <w:szCs w:val="24"/>
              </w:rPr>
            </w:pPr>
            <w:r>
              <w:rPr>
                <w:rFonts w:hint="eastAsia" w:ascii="仿宋" w:hAnsi="仿宋" w:eastAsia="仿宋" w:cs="仿宋"/>
                <w:sz w:val="24"/>
                <w:szCs w:val="24"/>
              </w:rPr>
              <w:t>2.良（75-89分）：英语听力、发音、表达能力良好。</w:t>
            </w:r>
          </w:p>
          <w:p>
            <w:pPr>
              <w:spacing w:line="360" w:lineRule="auto"/>
              <w:rPr>
                <w:rFonts w:ascii="仿宋" w:hAnsi="仿宋" w:eastAsia="仿宋" w:cs="仿宋"/>
                <w:sz w:val="24"/>
                <w:szCs w:val="24"/>
              </w:rPr>
            </w:pPr>
            <w:r>
              <w:rPr>
                <w:rFonts w:hint="eastAsia" w:ascii="仿宋" w:hAnsi="仿宋" w:eastAsia="仿宋" w:cs="仿宋"/>
                <w:sz w:val="24"/>
                <w:szCs w:val="24"/>
              </w:rPr>
              <w:t>3.中（60-74分）：英语听力、发音、表达能力一般。</w:t>
            </w:r>
          </w:p>
          <w:p>
            <w:pPr>
              <w:spacing w:line="360" w:lineRule="auto"/>
              <w:rPr>
                <w:rFonts w:ascii="仿宋" w:hAnsi="仿宋" w:eastAsia="仿宋" w:cs="仿宋"/>
                <w:sz w:val="24"/>
                <w:szCs w:val="24"/>
              </w:rPr>
            </w:pPr>
            <w:r>
              <w:rPr>
                <w:rFonts w:hint="eastAsia" w:ascii="仿宋" w:hAnsi="仿宋" w:eastAsia="仿宋" w:cs="仿宋"/>
                <w:sz w:val="24"/>
                <w:szCs w:val="24"/>
              </w:rPr>
              <w:t>4.差（60分以下）：英语听力、发音、表达能力较差。</w:t>
            </w:r>
          </w:p>
        </w:tc>
      </w:tr>
    </w:tbl>
    <w:p>
      <w:pPr>
        <w:pStyle w:val="19"/>
        <w:spacing w:before="156" w:beforeLines="50" w:line="300" w:lineRule="auto"/>
        <w:contextualSpacing/>
        <w:rPr>
          <w:rFonts w:ascii="仿宋" w:hAnsi="仿宋" w:eastAsia="仿宋" w:cs="仿宋"/>
          <w:sz w:val="28"/>
          <w:szCs w:val="28"/>
        </w:rPr>
      </w:pPr>
      <w:r>
        <w:rPr>
          <w:rFonts w:hint="eastAsia" w:ascii="仿宋" w:hAnsi="仿宋" w:eastAsia="仿宋" w:cs="仿宋"/>
          <w:b/>
          <w:bCs/>
          <w:sz w:val="28"/>
          <w:szCs w:val="28"/>
        </w:rPr>
        <w:t>五、未尽事宜，以我校公布的各项文件要求为准。</w:t>
      </w:r>
    </w:p>
    <w:p>
      <w:pPr>
        <w:pStyle w:val="19"/>
        <w:spacing w:before="156" w:beforeLines="50" w:line="300" w:lineRule="auto"/>
        <w:contextualSpacing/>
        <w:rPr>
          <w:rFonts w:ascii="仿宋" w:hAnsi="仿宋" w:eastAsia="仿宋" w:cs="仿宋"/>
          <w:b/>
          <w:bCs/>
          <w:sz w:val="28"/>
          <w:szCs w:val="28"/>
        </w:rPr>
      </w:pPr>
      <w:r>
        <w:rPr>
          <w:rFonts w:hint="eastAsia" w:ascii="仿宋" w:hAnsi="仿宋" w:eastAsia="仿宋" w:cs="仿宋"/>
          <w:b/>
          <w:sz w:val="28"/>
          <w:szCs w:val="28"/>
        </w:rPr>
        <w:t>六、</w:t>
      </w:r>
      <w:r>
        <w:rPr>
          <w:rFonts w:hint="eastAsia" w:ascii="仿宋" w:hAnsi="仿宋" w:eastAsia="仿宋" w:cs="仿宋"/>
          <w:b/>
          <w:bCs/>
          <w:sz w:val="28"/>
          <w:szCs w:val="28"/>
        </w:rPr>
        <w:t>学院接受考生咨询工作人员、电话和电子邮箱</w:t>
      </w:r>
    </w:p>
    <w:p>
      <w:pPr>
        <w:spacing w:before="156" w:beforeLines="50" w:line="300" w:lineRule="auto"/>
        <w:contextualSpacing/>
        <w:jc w:val="left"/>
        <w:rPr>
          <w:rFonts w:ascii="仿宋" w:hAnsi="仿宋" w:eastAsia="仿宋" w:cs="仿宋"/>
          <w:color w:val="000000"/>
          <w:sz w:val="28"/>
          <w:szCs w:val="28"/>
        </w:rPr>
      </w:pPr>
      <w:r>
        <w:rPr>
          <w:rFonts w:hint="eastAsia" w:ascii="仿宋" w:hAnsi="仿宋" w:eastAsia="仿宋" w:cs="仿宋"/>
          <w:color w:val="000000"/>
          <w:sz w:val="28"/>
          <w:szCs w:val="28"/>
        </w:rPr>
        <w:t>1.公共管理学/行政管理：张老师 电话：62989348 邮箱：</w:t>
      </w:r>
      <w:r>
        <w:fldChar w:fldCharType="begin"/>
      </w:r>
      <w:r>
        <w:instrText xml:space="preserve"> HYPERLINK "mailto:zhangyaning@bsu.edu.cn" </w:instrText>
      </w:r>
      <w:r>
        <w:fldChar w:fldCharType="separate"/>
      </w:r>
      <w:r>
        <w:rPr>
          <w:rStyle w:val="12"/>
          <w:rFonts w:hint="eastAsia" w:ascii="仿宋" w:hAnsi="仿宋" w:eastAsia="仿宋" w:cs="仿宋"/>
          <w:color w:val="000000"/>
          <w:sz w:val="28"/>
          <w:szCs w:val="28"/>
        </w:rPr>
        <w:t>zhangyaning@bsu.edu.cn</w:t>
      </w:r>
      <w:r>
        <w:rPr>
          <w:rStyle w:val="12"/>
          <w:rFonts w:hint="eastAsia" w:ascii="仿宋" w:hAnsi="仿宋" w:eastAsia="仿宋" w:cs="仿宋"/>
          <w:color w:val="000000"/>
          <w:sz w:val="28"/>
          <w:szCs w:val="28"/>
        </w:rPr>
        <w:fldChar w:fldCharType="end"/>
      </w:r>
    </w:p>
    <w:p>
      <w:pPr>
        <w:spacing w:before="156" w:beforeLines="50" w:line="300" w:lineRule="auto"/>
        <w:contextualSpacing/>
        <w:jc w:val="left"/>
        <w:rPr>
          <w:rFonts w:ascii="仿宋" w:hAnsi="仿宋" w:eastAsia="仿宋" w:cs="仿宋"/>
          <w:color w:val="000000"/>
          <w:sz w:val="28"/>
          <w:szCs w:val="28"/>
        </w:rPr>
      </w:pPr>
      <w:r>
        <w:rPr>
          <w:rFonts w:hint="eastAsia" w:ascii="仿宋" w:hAnsi="仿宋" w:eastAsia="仿宋" w:cs="仿宋"/>
          <w:sz w:val="28"/>
          <w:szCs w:val="28"/>
        </w:rPr>
        <w:t>2.竞赛组织</w:t>
      </w:r>
      <w:r>
        <w:rPr>
          <w:rFonts w:hint="eastAsia" w:ascii="仿宋" w:hAnsi="仿宋" w:eastAsia="仿宋" w:cs="仿宋"/>
          <w:color w:val="000000"/>
          <w:sz w:val="28"/>
          <w:szCs w:val="28"/>
        </w:rPr>
        <w:t>：刘老师 电话：62981540 邮箱：</w:t>
      </w:r>
      <w:r>
        <w:fldChar w:fldCharType="begin"/>
      </w:r>
      <w:r>
        <w:instrText xml:space="preserve"> HYPERLINK "mailto:liujing@bsu.edu.cn" </w:instrText>
      </w:r>
      <w:r>
        <w:fldChar w:fldCharType="separate"/>
      </w:r>
      <w:r>
        <w:rPr>
          <w:rStyle w:val="12"/>
          <w:rFonts w:hint="eastAsia" w:ascii="仿宋" w:hAnsi="仿宋" w:eastAsia="仿宋" w:cs="仿宋"/>
          <w:color w:val="000000"/>
          <w:sz w:val="28"/>
          <w:szCs w:val="28"/>
        </w:rPr>
        <w:t>liujing@bsu.edu.cn</w:t>
      </w:r>
      <w:r>
        <w:rPr>
          <w:rStyle w:val="12"/>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2MTg2YThjZmMwMmViN2RkODhkZjYzMTlhYmU1ZmMifQ=="/>
  </w:docVars>
  <w:rsids>
    <w:rsidRoot w:val="00146A66"/>
    <w:rsid w:val="000E5C4C"/>
    <w:rsid w:val="001313BE"/>
    <w:rsid w:val="00133EBC"/>
    <w:rsid w:val="00146A66"/>
    <w:rsid w:val="002C2ACB"/>
    <w:rsid w:val="00302126"/>
    <w:rsid w:val="00393434"/>
    <w:rsid w:val="003A3F11"/>
    <w:rsid w:val="003B4F54"/>
    <w:rsid w:val="005401C8"/>
    <w:rsid w:val="006B6F9E"/>
    <w:rsid w:val="006C588F"/>
    <w:rsid w:val="00750980"/>
    <w:rsid w:val="00763397"/>
    <w:rsid w:val="00772A53"/>
    <w:rsid w:val="00792DB8"/>
    <w:rsid w:val="007C4240"/>
    <w:rsid w:val="008028E4"/>
    <w:rsid w:val="00851BBF"/>
    <w:rsid w:val="008D0515"/>
    <w:rsid w:val="0095396A"/>
    <w:rsid w:val="00A313D1"/>
    <w:rsid w:val="00A428A5"/>
    <w:rsid w:val="00AB19E8"/>
    <w:rsid w:val="00B37D09"/>
    <w:rsid w:val="00BB5C66"/>
    <w:rsid w:val="00CB1627"/>
    <w:rsid w:val="00CB36E1"/>
    <w:rsid w:val="00D07140"/>
    <w:rsid w:val="00D32ECE"/>
    <w:rsid w:val="00D97DC0"/>
    <w:rsid w:val="00DD00CC"/>
    <w:rsid w:val="00DE21CA"/>
    <w:rsid w:val="00E00C3D"/>
    <w:rsid w:val="00E31C49"/>
    <w:rsid w:val="00EA7642"/>
    <w:rsid w:val="00ED661E"/>
    <w:rsid w:val="00EE4154"/>
    <w:rsid w:val="00F35EAC"/>
    <w:rsid w:val="00FA72A7"/>
    <w:rsid w:val="00FD547F"/>
    <w:rsid w:val="00FE630A"/>
    <w:rsid w:val="040B6657"/>
    <w:rsid w:val="0459794B"/>
    <w:rsid w:val="05AD4271"/>
    <w:rsid w:val="078A4F39"/>
    <w:rsid w:val="083B5780"/>
    <w:rsid w:val="1F3C7FF8"/>
    <w:rsid w:val="20951DF8"/>
    <w:rsid w:val="210126AD"/>
    <w:rsid w:val="211379A8"/>
    <w:rsid w:val="23B37411"/>
    <w:rsid w:val="2593737F"/>
    <w:rsid w:val="25B272E5"/>
    <w:rsid w:val="27885D5B"/>
    <w:rsid w:val="292844FB"/>
    <w:rsid w:val="2AA1669A"/>
    <w:rsid w:val="2C323B62"/>
    <w:rsid w:val="36872BDC"/>
    <w:rsid w:val="3A7A639D"/>
    <w:rsid w:val="3AFF26E2"/>
    <w:rsid w:val="3CA033B8"/>
    <w:rsid w:val="428F75FF"/>
    <w:rsid w:val="44C93229"/>
    <w:rsid w:val="453B78E4"/>
    <w:rsid w:val="45E5579A"/>
    <w:rsid w:val="465A06F3"/>
    <w:rsid w:val="545944D1"/>
    <w:rsid w:val="5643624B"/>
    <w:rsid w:val="618D27E1"/>
    <w:rsid w:val="6CD47485"/>
    <w:rsid w:val="6DE547C6"/>
    <w:rsid w:val="73F7722A"/>
    <w:rsid w:val="7A47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45"/>
      <w:ind w:left="2092" w:right="1373" w:hanging="1239"/>
      <w:outlineLvl w:val="0"/>
    </w:pPr>
    <w:rPr>
      <w:rFonts w:ascii="宋体" w:hAnsi="宋体" w:eastAsia="宋体" w:cs="宋体"/>
      <w:sz w:val="32"/>
      <w:szCs w:val="32"/>
    </w:rPr>
  </w:style>
  <w:style w:type="paragraph" w:styleId="3">
    <w:name w:val="heading 2"/>
    <w:basedOn w:val="1"/>
    <w:next w:val="1"/>
    <w:qFormat/>
    <w:uiPriority w:val="1"/>
    <w:pPr>
      <w:spacing w:before="61"/>
      <w:ind w:left="781"/>
      <w:outlineLvl w:val="1"/>
    </w:pPr>
    <w:rPr>
      <w:b/>
      <w:bCs/>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4"/>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5"/>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批注文字 字符"/>
    <w:basedOn w:val="11"/>
    <w:link w:val="4"/>
    <w:semiHidden/>
    <w:qFormat/>
    <w:uiPriority w:val="99"/>
  </w:style>
  <w:style w:type="character" w:customStyle="1" w:styleId="15">
    <w:name w:val="批注主题 字符"/>
    <w:basedOn w:val="14"/>
    <w:link w:val="8"/>
    <w:semiHidden/>
    <w:qFormat/>
    <w:uiPriority w:val="99"/>
    <w:rPr>
      <w:b/>
      <w:bCs/>
    </w:rPr>
  </w:style>
  <w:style w:type="character" w:customStyle="1" w:styleId="16">
    <w:name w:val="批注框文本 字符"/>
    <w:basedOn w:val="11"/>
    <w:link w:val="5"/>
    <w:semiHidden/>
    <w:qFormat/>
    <w:uiPriority w:val="99"/>
    <w:rPr>
      <w:sz w:val="18"/>
      <w:szCs w:val="18"/>
    </w:rPr>
  </w:style>
  <w:style w:type="character" w:customStyle="1" w:styleId="17">
    <w:name w:val="页眉 字符"/>
    <w:basedOn w:val="11"/>
    <w:link w:val="7"/>
    <w:qFormat/>
    <w:uiPriority w:val="99"/>
    <w:rPr>
      <w:kern w:val="2"/>
      <w:sz w:val="18"/>
      <w:szCs w:val="18"/>
    </w:rPr>
  </w:style>
  <w:style w:type="character" w:customStyle="1" w:styleId="18">
    <w:name w:val="页脚 字符"/>
    <w:basedOn w:val="11"/>
    <w:link w:val="6"/>
    <w:qFormat/>
    <w:uiPriority w:val="99"/>
    <w:rPr>
      <w:kern w:val="2"/>
      <w:sz w:val="18"/>
      <w:szCs w:val="18"/>
    </w:rPr>
  </w:style>
  <w:style w:type="paragraph" w:customStyle="1" w:styleId="19">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278</Words>
  <Characters>1590</Characters>
  <Lines>13</Lines>
  <Paragraphs>3</Paragraphs>
  <TotalTime>0</TotalTime>
  <ScaleCrop>false</ScaleCrop>
  <LinksUpToDate>false</LinksUpToDate>
  <CharactersWithSpaces>1865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2024-03-15T03:16:00Z</dcterms:created>
  <dc:creator>glxy</dc:creator>
  <cp:lastModifiedBy>王大勇</cp:lastModifiedBy>
  <dcterms:modified xsi:type="dcterms:W3CDTF">2024-03-18T06:57:02Z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8A2E8F418A8643AD90385D0A3EACD0D6</vt:lpwstr>
  </property>
</Properties>
</file>